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6E0" w:rsidRDefault="00BE26E0"/>
    <w:p w:rsidR="007F5B7C" w:rsidRDefault="007F5B7C"/>
    <w:p w:rsidR="007F5B7C" w:rsidRPr="000B241B" w:rsidRDefault="007F5B7C" w:rsidP="007F5B7C">
      <w:pPr>
        <w:pStyle w:val="Ttulo2"/>
        <w:rPr>
          <w:rFonts w:ascii="Arial Narrow" w:hAnsi="Arial Narrow" w:cs="Arial"/>
          <w:b w:val="0"/>
          <w:bCs w:val="0"/>
          <w:color w:val="auto"/>
          <w:lang w:val="es-ES"/>
        </w:rPr>
      </w:pPr>
      <w:bookmarkStart w:id="0" w:name="_Toc496712951"/>
      <w:r w:rsidRPr="000B241B">
        <w:rPr>
          <w:rFonts w:ascii="Arial Narrow" w:hAnsi="Arial Narrow" w:cs="Arial"/>
          <w:b w:val="0"/>
          <w:bCs w:val="0"/>
          <w:color w:val="auto"/>
          <w:lang w:val="es-ES"/>
        </w:rPr>
        <w:t>Anexo 7 “Avance de las acciones para atender los aspectos susceptibles de mejora”</w:t>
      </w:r>
      <w:bookmarkEnd w:id="0"/>
    </w:p>
    <w:p w:rsidR="007F5B7C" w:rsidRPr="000B241B" w:rsidRDefault="007F5B7C" w:rsidP="007F5B7C">
      <w:pPr>
        <w:tabs>
          <w:tab w:val="left" w:pos="0"/>
        </w:tabs>
        <w:ind w:right="51"/>
        <w:jc w:val="center"/>
        <w:rPr>
          <w:rFonts w:ascii="Arial Narrow" w:hAnsi="Arial Narrow" w:cs="Arial"/>
          <w:b/>
          <w:bCs/>
          <w:lang w:val="es-ES"/>
        </w:rPr>
      </w:pPr>
    </w:p>
    <w:tbl>
      <w:tblPr>
        <w:tblW w:w="10575" w:type="dxa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00"/>
        <w:gridCol w:w="7875"/>
      </w:tblGrid>
      <w:tr w:rsidR="007F5B7C" w:rsidRPr="000B241B" w:rsidTr="009355F2">
        <w:trPr>
          <w:trHeight w:val="28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B7C" w:rsidRPr="000B241B" w:rsidRDefault="007F5B7C" w:rsidP="009355F2">
            <w:pPr>
              <w:tabs>
                <w:tab w:val="left" w:pos="0"/>
              </w:tabs>
              <w:rPr>
                <w:rFonts w:ascii="Arial Narrow" w:hAnsi="Arial Narrow" w:cs="Arial"/>
                <w:b/>
                <w:bCs/>
                <w:lang w:eastAsia="es-MX"/>
              </w:rPr>
            </w:pPr>
            <w:r w:rsidRPr="000B241B">
              <w:rPr>
                <w:rFonts w:ascii="Arial Narrow" w:hAnsi="Arial Narrow" w:cs="Arial"/>
                <w:b/>
                <w:bCs/>
                <w:lang w:eastAsia="es-MX"/>
              </w:rPr>
              <w:t>Nombre del Programa:</w:t>
            </w:r>
          </w:p>
        </w:tc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</w:tcPr>
          <w:p w:rsidR="007F5B7C" w:rsidRPr="000B241B" w:rsidRDefault="007F5B7C" w:rsidP="009355F2">
            <w:pPr>
              <w:tabs>
                <w:tab w:val="left" w:pos="0"/>
              </w:tabs>
              <w:rPr>
                <w:rFonts w:ascii="Arial Narrow" w:hAnsi="Arial Narrow" w:cs="Arial"/>
                <w:b/>
                <w:bCs/>
                <w:lang w:eastAsia="es-MX"/>
              </w:rPr>
            </w:pPr>
            <w:r w:rsidRPr="000B241B">
              <w:rPr>
                <w:rFonts w:ascii="Arial Narrow" w:hAnsi="Arial Narrow" w:cs="Arial"/>
                <w:b/>
                <w:bCs/>
                <w:lang w:eastAsia="es-MX"/>
              </w:rPr>
              <w:t>Programa de Recuperación y Repoblación de Especies en Riesgo</w:t>
            </w:r>
          </w:p>
        </w:tc>
      </w:tr>
      <w:tr w:rsidR="007F5B7C" w:rsidRPr="000B241B" w:rsidTr="009355F2">
        <w:trPr>
          <w:trHeight w:val="28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B7C" w:rsidRPr="000B241B" w:rsidRDefault="007F5B7C" w:rsidP="009355F2">
            <w:pPr>
              <w:tabs>
                <w:tab w:val="left" w:pos="0"/>
              </w:tabs>
              <w:rPr>
                <w:rFonts w:ascii="Arial Narrow" w:hAnsi="Arial Narrow" w:cs="Arial"/>
                <w:b/>
                <w:bCs/>
                <w:lang w:eastAsia="es-MX"/>
              </w:rPr>
            </w:pPr>
            <w:r w:rsidRPr="000B241B">
              <w:rPr>
                <w:rFonts w:ascii="Arial Narrow" w:hAnsi="Arial Narrow" w:cs="Arial"/>
                <w:b/>
                <w:bCs/>
                <w:lang w:eastAsia="es-MX"/>
              </w:rPr>
              <w:t>Modalidad:</w:t>
            </w:r>
          </w:p>
        </w:tc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</w:tcPr>
          <w:p w:rsidR="007F5B7C" w:rsidRPr="000B241B" w:rsidRDefault="007F5B7C" w:rsidP="009355F2">
            <w:pPr>
              <w:tabs>
                <w:tab w:val="left" w:pos="0"/>
              </w:tabs>
              <w:rPr>
                <w:rFonts w:ascii="Arial Narrow" w:hAnsi="Arial Narrow" w:cs="Arial"/>
                <w:b/>
                <w:bCs/>
                <w:lang w:eastAsia="es-MX"/>
              </w:rPr>
            </w:pPr>
            <w:r w:rsidRPr="000B241B">
              <w:rPr>
                <w:rFonts w:ascii="Arial Narrow" w:hAnsi="Arial Narrow" w:cs="Arial"/>
                <w:b/>
                <w:bCs/>
                <w:lang w:eastAsia="es-MX"/>
              </w:rPr>
              <w:t>U025</w:t>
            </w:r>
          </w:p>
        </w:tc>
      </w:tr>
      <w:tr w:rsidR="007F5B7C" w:rsidRPr="000B241B" w:rsidTr="009355F2">
        <w:trPr>
          <w:trHeight w:val="28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B7C" w:rsidRPr="000B241B" w:rsidRDefault="007F5B7C" w:rsidP="009355F2">
            <w:pPr>
              <w:tabs>
                <w:tab w:val="left" w:pos="0"/>
              </w:tabs>
              <w:rPr>
                <w:rFonts w:ascii="Arial Narrow" w:hAnsi="Arial Narrow" w:cs="Arial"/>
                <w:b/>
                <w:bCs/>
                <w:lang w:eastAsia="es-MX"/>
              </w:rPr>
            </w:pPr>
            <w:r w:rsidRPr="000B241B">
              <w:rPr>
                <w:rFonts w:ascii="Arial Narrow" w:hAnsi="Arial Narrow" w:cs="Arial"/>
                <w:b/>
                <w:bCs/>
                <w:lang w:eastAsia="es-MX"/>
              </w:rPr>
              <w:t>Dependencia/Entidad:</w:t>
            </w:r>
          </w:p>
        </w:tc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</w:tcPr>
          <w:p w:rsidR="007F5B7C" w:rsidRPr="000B241B" w:rsidRDefault="007F5B7C" w:rsidP="009355F2">
            <w:pPr>
              <w:tabs>
                <w:tab w:val="left" w:pos="0"/>
              </w:tabs>
              <w:rPr>
                <w:rFonts w:ascii="Arial Narrow" w:hAnsi="Arial Narrow" w:cs="Arial"/>
                <w:b/>
                <w:bCs/>
                <w:lang w:eastAsia="es-MX"/>
              </w:rPr>
            </w:pPr>
            <w:r w:rsidRPr="000B241B">
              <w:rPr>
                <w:rFonts w:ascii="Arial Narrow" w:hAnsi="Arial Narrow" w:cs="Arial"/>
                <w:b/>
                <w:bCs/>
                <w:lang w:eastAsia="es-MX"/>
              </w:rPr>
              <w:t>16 – Secretaría de Medio Ambiente y Recursos Naturales</w:t>
            </w:r>
          </w:p>
        </w:tc>
      </w:tr>
      <w:tr w:rsidR="007F5B7C" w:rsidRPr="000B241B" w:rsidTr="009355F2">
        <w:trPr>
          <w:trHeight w:val="28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B7C" w:rsidRPr="000B241B" w:rsidRDefault="007F5B7C" w:rsidP="009355F2">
            <w:pPr>
              <w:tabs>
                <w:tab w:val="left" w:pos="0"/>
              </w:tabs>
              <w:rPr>
                <w:rFonts w:ascii="Arial Narrow" w:hAnsi="Arial Narrow" w:cs="Arial"/>
                <w:b/>
                <w:bCs/>
                <w:lang w:eastAsia="es-MX"/>
              </w:rPr>
            </w:pPr>
            <w:r w:rsidRPr="000B241B">
              <w:rPr>
                <w:rFonts w:ascii="Arial Narrow" w:hAnsi="Arial Narrow" w:cs="Arial"/>
                <w:b/>
                <w:bCs/>
                <w:lang w:eastAsia="es-MX"/>
              </w:rPr>
              <w:t>Unidad Responsable:</w:t>
            </w:r>
          </w:p>
        </w:tc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</w:tcPr>
          <w:p w:rsidR="007F5B7C" w:rsidRPr="000B241B" w:rsidRDefault="007F5B7C" w:rsidP="009355F2">
            <w:pPr>
              <w:tabs>
                <w:tab w:val="left" w:pos="0"/>
              </w:tabs>
              <w:rPr>
                <w:rFonts w:ascii="Arial Narrow" w:hAnsi="Arial Narrow" w:cs="Arial"/>
                <w:b/>
                <w:bCs/>
                <w:lang w:eastAsia="es-MX"/>
              </w:rPr>
            </w:pPr>
            <w:r w:rsidRPr="000B241B">
              <w:rPr>
                <w:rFonts w:ascii="Arial Narrow" w:hAnsi="Arial Narrow" w:cs="Arial"/>
                <w:b/>
                <w:bCs/>
                <w:lang w:eastAsia="es-MX"/>
              </w:rPr>
              <w:t>F00 - Comisión Nacional de Áreas Naturales Protegidas</w:t>
            </w:r>
          </w:p>
        </w:tc>
      </w:tr>
      <w:tr w:rsidR="007F5B7C" w:rsidRPr="000B241B" w:rsidTr="009355F2">
        <w:trPr>
          <w:trHeight w:val="28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B7C" w:rsidRPr="000B241B" w:rsidRDefault="007F5B7C" w:rsidP="009355F2">
            <w:pPr>
              <w:tabs>
                <w:tab w:val="left" w:pos="0"/>
              </w:tabs>
              <w:rPr>
                <w:rFonts w:ascii="Arial Narrow" w:hAnsi="Arial Narrow" w:cs="Arial"/>
                <w:b/>
                <w:bCs/>
                <w:lang w:eastAsia="es-MX"/>
              </w:rPr>
            </w:pPr>
            <w:r w:rsidRPr="000B241B">
              <w:rPr>
                <w:rFonts w:ascii="Arial Narrow" w:hAnsi="Arial Narrow" w:cs="Arial"/>
                <w:b/>
                <w:bCs/>
                <w:lang w:eastAsia="es-MX"/>
              </w:rPr>
              <w:t>Tipo de Evaluación:</w:t>
            </w:r>
          </w:p>
        </w:tc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</w:tcPr>
          <w:p w:rsidR="007F5B7C" w:rsidRPr="000B241B" w:rsidRDefault="007F5B7C" w:rsidP="009355F2">
            <w:pPr>
              <w:tabs>
                <w:tab w:val="left" w:pos="0"/>
              </w:tabs>
              <w:rPr>
                <w:rFonts w:ascii="Arial Narrow" w:hAnsi="Arial Narrow" w:cs="Arial"/>
                <w:b/>
                <w:bCs/>
                <w:lang w:eastAsia="es-MX"/>
              </w:rPr>
            </w:pPr>
            <w:r w:rsidRPr="000B241B">
              <w:rPr>
                <w:rFonts w:ascii="Arial Narrow" w:hAnsi="Arial Narrow" w:cs="Arial"/>
                <w:b/>
                <w:bCs/>
                <w:lang w:eastAsia="es-MX"/>
              </w:rPr>
              <w:t>Consistencia y Resultados</w:t>
            </w:r>
          </w:p>
        </w:tc>
      </w:tr>
      <w:tr w:rsidR="007F5B7C" w:rsidRPr="000B241B" w:rsidTr="009355F2">
        <w:trPr>
          <w:trHeight w:val="28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B7C" w:rsidRPr="000B241B" w:rsidRDefault="007F5B7C" w:rsidP="009355F2">
            <w:pPr>
              <w:tabs>
                <w:tab w:val="left" w:pos="0"/>
              </w:tabs>
              <w:rPr>
                <w:rFonts w:ascii="Arial Narrow" w:hAnsi="Arial Narrow" w:cs="Arial"/>
                <w:b/>
                <w:bCs/>
                <w:lang w:eastAsia="es-MX"/>
              </w:rPr>
            </w:pPr>
            <w:r w:rsidRPr="000B241B">
              <w:rPr>
                <w:rFonts w:ascii="Arial Narrow" w:hAnsi="Arial Narrow" w:cs="Arial"/>
                <w:b/>
                <w:bCs/>
                <w:lang w:eastAsia="es-MX"/>
              </w:rPr>
              <w:t>Año de la Evaluación:</w:t>
            </w:r>
          </w:p>
        </w:tc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</w:tcPr>
          <w:p w:rsidR="007F5B7C" w:rsidRPr="000B241B" w:rsidRDefault="007F5B7C" w:rsidP="009355F2">
            <w:pPr>
              <w:tabs>
                <w:tab w:val="left" w:pos="0"/>
              </w:tabs>
              <w:rPr>
                <w:rFonts w:ascii="Arial Narrow" w:hAnsi="Arial Narrow" w:cs="Arial"/>
                <w:b/>
                <w:bCs/>
                <w:lang w:eastAsia="es-MX"/>
              </w:rPr>
            </w:pPr>
            <w:r w:rsidRPr="000B241B">
              <w:rPr>
                <w:rFonts w:ascii="Arial Narrow" w:hAnsi="Arial Narrow" w:cs="Arial"/>
                <w:b/>
                <w:bCs/>
                <w:lang w:eastAsia="es-MX"/>
              </w:rPr>
              <w:t>2017</w:t>
            </w:r>
          </w:p>
        </w:tc>
      </w:tr>
    </w:tbl>
    <w:p w:rsidR="007F5B7C" w:rsidRPr="000B241B" w:rsidRDefault="007F5B7C" w:rsidP="007F5B7C">
      <w:pPr>
        <w:tabs>
          <w:tab w:val="left" w:pos="0"/>
        </w:tabs>
        <w:ind w:right="51"/>
        <w:jc w:val="center"/>
        <w:rPr>
          <w:rFonts w:ascii="Arial Narrow" w:hAnsi="Arial Narrow" w:cs="Arial"/>
          <w:iCs/>
        </w:rPr>
      </w:pPr>
    </w:p>
    <w:tbl>
      <w:tblPr>
        <w:tblW w:w="12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936"/>
        <w:gridCol w:w="936"/>
        <w:gridCol w:w="943"/>
        <w:gridCol w:w="948"/>
        <w:gridCol w:w="1227"/>
        <w:gridCol w:w="918"/>
        <w:gridCol w:w="1066"/>
        <w:gridCol w:w="1225"/>
        <w:gridCol w:w="1555"/>
        <w:gridCol w:w="2281"/>
      </w:tblGrid>
      <w:tr w:rsidR="00E817CA" w:rsidRPr="000B241B" w:rsidTr="00E817CA">
        <w:trPr>
          <w:cantSplit/>
          <w:trHeight w:val="432"/>
          <w:jc w:val="center"/>
        </w:trPr>
        <w:tc>
          <w:tcPr>
            <w:tcW w:w="421" w:type="dxa"/>
            <w:vMerge w:val="restart"/>
            <w:shd w:val="clear" w:color="000000" w:fill="366092"/>
            <w:vAlign w:val="center"/>
            <w:hideMark/>
          </w:tcPr>
          <w:p w:rsidR="007F5B7C" w:rsidRPr="000B241B" w:rsidRDefault="007F5B7C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</w:pPr>
            <w:r w:rsidRPr="000B241B"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  <w:t>No.</w:t>
            </w:r>
          </w:p>
        </w:tc>
        <w:tc>
          <w:tcPr>
            <w:tcW w:w="936" w:type="dxa"/>
            <w:vMerge w:val="restart"/>
            <w:shd w:val="clear" w:color="000000" w:fill="366092"/>
            <w:tcMar>
              <w:left w:w="28" w:type="dxa"/>
              <w:right w:w="28" w:type="dxa"/>
            </w:tcMar>
            <w:vAlign w:val="center"/>
            <w:hideMark/>
          </w:tcPr>
          <w:p w:rsidR="007F5B7C" w:rsidRPr="000B241B" w:rsidRDefault="007F5B7C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</w:pPr>
            <w:r w:rsidRPr="000B241B"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  <w:t>Aspectos susceptibles de mejora</w:t>
            </w:r>
          </w:p>
        </w:tc>
        <w:tc>
          <w:tcPr>
            <w:tcW w:w="936" w:type="dxa"/>
            <w:vMerge w:val="restart"/>
            <w:shd w:val="clear" w:color="000000" w:fill="366092"/>
            <w:tcMar>
              <w:left w:w="28" w:type="dxa"/>
              <w:right w:w="28" w:type="dxa"/>
            </w:tcMar>
            <w:vAlign w:val="center"/>
            <w:hideMark/>
          </w:tcPr>
          <w:p w:rsidR="007F5B7C" w:rsidRPr="000B241B" w:rsidRDefault="007F5B7C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</w:pPr>
            <w:r w:rsidRPr="000B241B"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  <w:t>Actividades</w:t>
            </w:r>
          </w:p>
        </w:tc>
        <w:tc>
          <w:tcPr>
            <w:tcW w:w="943" w:type="dxa"/>
            <w:vMerge w:val="restart"/>
            <w:shd w:val="clear" w:color="000000" w:fill="366092"/>
            <w:tcMar>
              <w:left w:w="28" w:type="dxa"/>
              <w:right w:w="28" w:type="dxa"/>
            </w:tcMar>
            <w:vAlign w:val="center"/>
            <w:hideMark/>
          </w:tcPr>
          <w:p w:rsidR="007F5B7C" w:rsidRPr="000B241B" w:rsidRDefault="007F5B7C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</w:pPr>
            <w:r w:rsidRPr="000B241B"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  <w:t>Área responsable</w:t>
            </w:r>
          </w:p>
        </w:tc>
        <w:tc>
          <w:tcPr>
            <w:tcW w:w="2175" w:type="dxa"/>
            <w:gridSpan w:val="2"/>
            <w:shd w:val="clear" w:color="000000" w:fill="366092"/>
            <w:tcMar>
              <w:left w:w="28" w:type="dxa"/>
              <w:right w:w="28" w:type="dxa"/>
            </w:tcMar>
            <w:vAlign w:val="center"/>
            <w:hideMark/>
          </w:tcPr>
          <w:p w:rsidR="007F5B7C" w:rsidRPr="000B241B" w:rsidRDefault="007F5B7C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</w:pPr>
            <w:r w:rsidRPr="000B241B"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  <w:t>Fecha compromiso del ASM</w:t>
            </w:r>
          </w:p>
        </w:tc>
        <w:tc>
          <w:tcPr>
            <w:tcW w:w="918" w:type="dxa"/>
            <w:vMerge w:val="restart"/>
            <w:shd w:val="clear" w:color="000000" w:fill="366092"/>
            <w:tcMar>
              <w:left w:w="28" w:type="dxa"/>
              <w:right w:w="28" w:type="dxa"/>
            </w:tcMar>
            <w:vAlign w:val="center"/>
            <w:hideMark/>
          </w:tcPr>
          <w:p w:rsidR="007F5B7C" w:rsidRPr="000B241B" w:rsidRDefault="007F5B7C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</w:pPr>
            <w:r w:rsidRPr="000B241B"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  <w:t>Resultados esperados</w:t>
            </w:r>
          </w:p>
        </w:tc>
        <w:tc>
          <w:tcPr>
            <w:tcW w:w="1066" w:type="dxa"/>
            <w:vMerge w:val="restart"/>
            <w:shd w:val="clear" w:color="000000" w:fill="366092"/>
            <w:tcMar>
              <w:left w:w="28" w:type="dxa"/>
              <w:right w:w="28" w:type="dxa"/>
            </w:tcMar>
            <w:vAlign w:val="center"/>
            <w:hideMark/>
          </w:tcPr>
          <w:p w:rsidR="007F5B7C" w:rsidRPr="000B241B" w:rsidRDefault="007F5B7C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</w:pPr>
            <w:r w:rsidRPr="000B241B"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  <w:t>Productos y/o evidencia</w:t>
            </w:r>
          </w:p>
        </w:tc>
        <w:tc>
          <w:tcPr>
            <w:tcW w:w="1225" w:type="dxa"/>
            <w:vMerge w:val="restart"/>
            <w:shd w:val="clear" w:color="000000" w:fill="366092"/>
            <w:tcMar>
              <w:left w:w="28" w:type="dxa"/>
              <w:right w:w="28" w:type="dxa"/>
            </w:tcMar>
            <w:vAlign w:val="center"/>
            <w:hideMark/>
          </w:tcPr>
          <w:p w:rsidR="007F5B7C" w:rsidRPr="000B241B" w:rsidRDefault="007F5B7C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</w:pPr>
            <w:r w:rsidRPr="000B241B"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  <w:t>Avance (%) en los tres últimos años</w:t>
            </w:r>
          </w:p>
        </w:tc>
        <w:tc>
          <w:tcPr>
            <w:tcW w:w="1555" w:type="dxa"/>
            <w:vMerge w:val="restart"/>
            <w:shd w:val="clear" w:color="000000" w:fill="366092"/>
            <w:tcMar>
              <w:left w:w="28" w:type="dxa"/>
              <w:right w:w="28" w:type="dxa"/>
            </w:tcMar>
            <w:vAlign w:val="center"/>
            <w:hideMark/>
          </w:tcPr>
          <w:p w:rsidR="007F5B7C" w:rsidRPr="000B241B" w:rsidRDefault="007F5B7C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</w:pPr>
            <w:r w:rsidRPr="000B241B"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  <w:t>Identificación del documento probatorio</w:t>
            </w:r>
          </w:p>
        </w:tc>
        <w:tc>
          <w:tcPr>
            <w:tcW w:w="2281" w:type="dxa"/>
            <w:vMerge w:val="restart"/>
            <w:shd w:val="clear" w:color="000000" w:fill="366092"/>
            <w:vAlign w:val="center"/>
            <w:hideMark/>
          </w:tcPr>
          <w:p w:rsidR="007F5B7C" w:rsidRPr="000B241B" w:rsidRDefault="007F5B7C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</w:pPr>
            <w:r w:rsidRPr="000B241B"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  <w:t>Observaciones</w:t>
            </w:r>
          </w:p>
        </w:tc>
      </w:tr>
      <w:tr w:rsidR="00E817CA" w:rsidRPr="000B241B" w:rsidTr="00E817CA">
        <w:trPr>
          <w:cantSplit/>
          <w:trHeight w:val="283"/>
          <w:jc w:val="center"/>
        </w:trPr>
        <w:tc>
          <w:tcPr>
            <w:tcW w:w="421" w:type="dxa"/>
            <w:vMerge/>
            <w:shd w:val="clear" w:color="000000" w:fill="366092"/>
            <w:vAlign w:val="center"/>
          </w:tcPr>
          <w:p w:rsidR="007F5B7C" w:rsidRPr="000B241B" w:rsidRDefault="007F5B7C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</w:pPr>
          </w:p>
        </w:tc>
        <w:tc>
          <w:tcPr>
            <w:tcW w:w="936" w:type="dxa"/>
            <w:vMerge/>
            <w:shd w:val="clear" w:color="000000" w:fill="366092"/>
            <w:tcMar>
              <w:left w:w="28" w:type="dxa"/>
              <w:right w:w="28" w:type="dxa"/>
            </w:tcMar>
            <w:vAlign w:val="center"/>
          </w:tcPr>
          <w:p w:rsidR="007F5B7C" w:rsidRPr="000B241B" w:rsidRDefault="007F5B7C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</w:pPr>
          </w:p>
        </w:tc>
        <w:tc>
          <w:tcPr>
            <w:tcW w:w="936" w:type="dxa"/>
            <w:vMerge/>
            <w:shd w:val="clear" w:color="000000" w:fill="366092"/>
            <w:tcMar>
              <w:left w:w="28" w:type="dxa"/>
              <w:right w:w="28" w:type="dxa"/>
            </w:tcMar>
            <w:vAlign w:val="center"/>
          </w:tcPr>
          <w:p w:rsidR="007F5B7C" w:rsidRPr="000B241B" w:rsidRDefault="007F5B7C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</w:pPr>
          </w:p>
        </w:tc>
        <w:tc>
          <w:tcPr>
            <w:tcW w:w="943" w:type="dxa"/>
            <w:vMerge/>
            <w:shd w:val="clear" w:color="000000" w:fill="366092"/>
            <w:tcMar>
              <w:left w:w="28" w:type="dxa"/>
              <w:right w:w="28" w:type="dxa"/>
            </w:tcMar>
            <w:vAlign w:val="center"/>
          </w:tcPr>
          <w:p w:rsidR="007F5B7C" w:rsidRPr="000B241B" w:rsidRDefault="007F5B7C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</w:pPr>
          </w:p>
        </w:tc>
        <w:tc>
          <w:tcPr>
            <w:tcW w:w="948" w:type="dxa"/>
            <w:shd w:val="clear" w:color="000000" w:fill="366092"/>
            <w:tcMar>
              <w:left w:w="28" w:type="dxa"/>
              <w:right w:w="28" w:type="dxa"/>
            </w:tcMar>
            <w:vAlign w:val="center"/>
          </w:tcPr>
          <w:p w:rsidR="007F5B7C" w:rsidRPr="000B241B" w:rsidRDefault="007F5B7C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</w:pPr>
            <w:r w:rsidRPr="000B241B"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  <w:t>Ciclo de Inicio</w:t>
            </w:r>
          </w:p>
        </w:tc>
        <w:tc>
          <w:tcPr>
            <w:tcW w:w="1227" w:type="dxa"/>
            <w:shd w:val="clear" w:color="000000" w:fill="366092"/>
            <w:vAlign w:val="center"/>
          </w:tcPr>
          <w:p w:rsidR="007F5B7C" w:rsidRPr="000B241B" w:rsidRDefault="007F5B7C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</w:pPr>
            <w:r w:rsidRPr="000B241B"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  <w:t>Fecha de Término</w:t>
            </w:r>
          </w:p>
        </w:tc>
        <w:tc>
          <w:tcPr>
            <w:tcW w:w="918" w:type="dxa"/>
            <w:vMerge/>
            <w:shd w:val="clear" w:color="000000" w:fill="366092"/>
            <w:tcMar>
              <w:left w:w="28" w:type="dxa"/>
              <w:right w:w="28" w:type="dxa"/>
            </w:tcMar>
            <w:vAlign w:val="center"/>
          </w:tcPr>
          <w:p w:rsidR="007F5B7C" w:rsidRPr="000B241B" w:rsidRDefault="007F5B7C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</w:pPr>
          </w:p>
        </w:tc>
        <w:tc>
          <w:tcPr>
            <w:tcW w:w="1066" w:type="dxa"/>
            <w:vMerge/>
            <w:shd w:val="clear" w:color="000000" w:fill="366092"/>
            <w:tcMar>
              <w:left w:w="28" w:type="dxa"/>
              <w:right w:w="28" w:type="dxa"/>
            </w:tcMar>
            <w:vAlign w:val="center"/>
          </w:tcPr>
          <w:p w:rsidR="007F5B7C" w:rsidRPr="000B241B" w:rsidRDefault="007F5B7C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</w:pPr>
          </w:p>
        </w:tc>
        <w:tc>
          <w:tcPr>
            <w:tcW w:w="1225" w:type="dxa"/>
            <w:vMerge/>
            <w:shd w:val="clear" w:color="000000" w:fill="366092"/>
            <w:tcMar>
              <w:left w:w="28" w:type="dxa"/>
              <w:right w:w="28" w:type="dxa"/>
            </w:tcMar>
            <w:vAlign w:val="center"/>
          </w:tcPr>
          <w:p w:rsidR="007F5B7C" w:rsidRPr="000B241B" w:rsidRDefault="007F5B7C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</w:pPr>
          </w:p>
        </w:tc>
        <w:tc>
          <w:tcPr>
            <w:tcW w:w="1555" w:type="dxa"/>
            <w:vMerge/>
            <w:shd w:val="clear" w:color="000000" w:fill="366092"/>
            <w:tcMar>
              <w:left w:w="28" w:type="dxa"/>
              <w:right w:w="28" w:type="dxa"/>
            </w:tcMar>
            <w:vAlign w:val="center"/>
          </w:tcPr>
          <w:p w:rsidR="007F5B7C" w:rsidRPr="000B241B" w:rsidRDefault="007F5B7C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</w:pPr>
          </w:p>
        </w:tc>
        <w:tc>
          <w:tcPr>
            <w:tcW w:w="2281" w:type="dxa"/>
            <w:vMerge/>
            <w:shd w:val="clear" w:color="000000" w:fill="366092"/>
            <w:vAlign w:val="center"/>
          </w:tcPr>
          <w:p w:rsidR="007F5B7C" w:rsidRPr="000B241B" w:rsidRDefault="007F5B7C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</w:pPr>
          </w:p>
        </w:tc>
      </w:tr>
      <w:tr w:rsidR="00E817CA" w:rsidRPr="000B241B" w:rsidTr="00E817CA">
        <w:trPr>
          <w:trHeight w:val="427"/>
          <w:jc w:val="center"/>
        </w:trPr>
        <w:tc>
          <w:tcPr>
            <w:tcW w:w="421" w:type="dxa"/>
            <w:shd w:val="clear" w:color="auto" w:fill="auto"/>
            <w:vAlign w:val="center"/>
            <w:hideMark/>
          </w:tcPr>
          <w:p w:rsidR="00E817CA" w:rsidRPr="000B241B" w:rsidRDefault="00E817CA" w:rsidP="00E817CA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 w:rsidRPr="000B241B">
              <w:rPr>
                <w:rFonts w:ascii="Arial Narrow" w:hAnsi="Arial Narrow" w:cs="Arial"/>
                <w:sz w:val="16"/>
                <w:szCs w:val="16"/>
                <w:lang w:eastAsia="es-MX"/>
              </w:rPr>
              <w:t> 1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E817CA" w:rsidRPr="00E817CA" w:rsidRDefault="00E817CA" w:rsidP="00E817CA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 w:rsidRPr="00E817CA">
              <w:rPr>
                <w:rFonts w:ascii="Arial Narrow" w:hAnsi="Arial Narrow"/>
                <w:sz w:val="16"/>
                <w:szCs w:val="16"/>
              </w:rPr>
              <w:t>Evaluación del  PROCER y PACE que permita, en su caso, realizar el manejo adaptativo del programa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E817CA" w:rsidRPr="000B241B" w:rsidRDefault="00E817CA" w:rsidP="00E817CA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>Llevar a cabo el documento de evaluación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E817CA" w:rsidRPr="000B241B" w:rsidRDefault="00E817CA" w:rsidP="00E817CA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>Dirección de Especies Prioritarias para la Conservación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E817CA" w:rsidRPr="000B241B" w:rsidRDefault="00E817CA" w:rsidP="00E817CA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>2015</w:t>
            </w:r>
          </w:p>
        </w:tc>
        <w:tc>
          <w:tcPr>
            <w:tcW w:w="1227" w:type="dxa"/>
            <w:shd w:val="clear" w:color="auto" w:fill="auto"/>
            <w:vAlign w:val="center"/>
          </w:tcPr>
          <w:p w:rsidR="00E817CA" w:rsidRPr="000B241B" w:rsidRDefault="00E817CA" w:rsidP="00E817CA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>Mar 2018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817CA" w:rsidRPr="000B241B" w:rsidRDefault="00E817CA" w:rsidP="00E817CA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>Documento De la Evaluación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E817CA" w:rsidRPr="000B241B" w:rsidRDefault="00E817CA" w:rsidP="00E817CA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>Documento De la Evaluación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E817CA" w:rsidRPr="000B241B" w:rsidRDefault="00E817CA" w:rsidP="00E817CA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>100%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817CA" w:rsidRPr="000B241B" w:rsidRDefault="00E817CA" w:rsidP="00E817CA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>Documento interno de la Evaluación del PROCER y los PACE como evidencia</w:t>
            </w:r>
          </w:p>
        </w:tc>
        <w:tc>
          <w:tcPr>
            <w:tcW w:w="2281" w:type="dxa"/>
            <w:shd w:val="clear" w:color="auto" w:fill="auto"/>
            <w:vAlign w:val="center"/>
          </w:tcPr>
          <w:p w:rsidR="00E817CA" w:rsidRPr="000B241B" w:rsidRDefault="00E817CA" w:rsidP="00E817CA">
            <w:pPr>
              <w:tabs>
                <w:tab w:val="left" w:pos="0"/>
              </w:tabs>
              <w:rPr>
                <w:rFonts w:ascii="Arial Narrow" w:hAnsi="Arial Narrow" w:cs="Arial"/>
                <w:sz w:val="16"/>
                <w:szCs w:val="16"/>
                <w:lang w:val="es-ES" w:eastAsia="es-MX"/>
              </w:rPr>
            </w:pPr>
            <w:r w:rsidRPr="000B241B">
              <w:rPr>
                <w:rFonts w:ascii="Arial Narrow" w:hAnsi="Arial Narrow" w:cs="Arial"/>
                <w:sz w:val="16"/>
                <w:szCs w:val="16"/>
                <w:lang w:eastAsia="es-MX"/>
              </w:rPr>
              <w:t xml:space="preserve">Para el periodo 2015-2016 “No se identificaron aspectos susceptibles de mejora vigentes, es decir aspectos cuyo avance es menor al 100%”, lo cual indica que la totalidad de los Aspectos se han solventado. Esta será la primera evaluación para el Programa, a partir de la fusión de Programas. </w:t>
            </w:r>
          </w:p>
        </w:tc>
      </w:tr>
      <w:tr w:rsidR="00E817CA" w:rsidRPr="000B241B" w:rsidTr="00E817CA">
        <w:trPr>
          <w:trHeight w:val="427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817CA" w:rsidRPr="000B241B" w:rsidRDefault="00E817CA" w:rsidP="00E817CA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>2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E817CA" w:rsidRPr="00E817CA" w:rsidRDefault="00E817CA" w:rsidP="00E817CA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 w:rsidRPr="00E817CA">
              <w:rPr>
                <w:rFonts w:ascii="Arial Narrow" w:hAnsi="Arial Narrow"/>
                <w:sz w:val="16"/>
                <w:szCs w:val="16"/>
              </w:rPr>
              <w:t>Revisión de indicadores y metas de la MIR 2018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E817CA" w:rsidRPr="000B241B" w:rsidRDefault="00E817CA" w:rsidP="00E817CA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>Revisar los indicadores y las metas de la MIR 2018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E817CA" w:rsidRPr="000B241B" w:rsidRDefault="00E817CA" w:rsidP="00E817CA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>Dirección General de Operación Regional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E817CA" w:rsidRPr="000B241B" w:rsidRDefault="00E817CA" w:rsidP="00E817CA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>Abr 2017</w:t>
            </w:r>
          </w:p>
        </w:tc>
        <w:tc>
          <w:tcPr>
            <w:tcW w:w="1227" w:type="dxa"/>
            <w:shd w:val="clear" w:color="auto" w:fill="auto"/>
            <w:vAlign w:val="center"/>
          </w:tcPr>
          <w:p w:rsidR="00E817CA" w:rsidRPr="000B241B" w:rsidRDefault="00E817CA" w:rsidP="00E817CA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>Dic 2018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817CA" w:rsidRPr="000B241B" w:rsidRDefault="00E817CA" w:rsidP="00E817CA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>MIR  modificada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E817CA" w:rsidRPr="000B241B" w:rsidRDefault="00E817CA" w:rsidP="00E817CA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>MIR  modificada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E817CA" w:rsidRPr="000B241B" w:rsidRDefault="00E817CA" w:rsidP="00E817CA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>95%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817CA" w:rsidRPr="000B241B" w:rsidRDefault="00E817CA" w:rsidP="00E817CA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>MIR actualizada</w:t>
            </w:r>
          </w:p>
        </w:tc>
        <w:tc>
          <w:tcPr>
            <w:tcW w:w="2281" w:type="dxa"/>
            <w:shd w:val="clear" w:color="auto" w:fill="auto"/>
            <w:vAlign w:val="center"/>
          </w:tcPr>
          <w:p w:rsidR="00E817CA" w:rsidRPr="000B241B" w:rsidRDefault="00E817CA" w:rsidP="00E817CA">
            <w:pPr>
              <w:tabs>
                <w:tab w:val="left" w:pos="0"/>
              </w:tabs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bookmarkStart w:id="1" w:name="_GoBack"/>
            <w:bookmarkEnd w:id="1"/>
          </w:p>
        </w:tc>
      </w:tr>
      <w:tr w:rsidR="00E817CA" w:rsidRPr="000B241B" w:rsidTr="00E817CA">
        <w:trPr>
          <w:trHeight w:val="427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817CA" w:rsidRDefault="00E817CA" w:rsidP="00E817CA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>3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E817CA" w:rsidRPr="00E817CA" w:rsidRDefault="00E817CA" w:rsidP="00E817CA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 w:rsidRPr="00E817CA">
              <w:rPr>
                <w:rFonts w:ascii="Arial Narrow" w:hAnsi="Arial Narrow"/>
                <w:sz w:val="16"/>
                <w:szCs w:val="16"/>
              </w:rPr>
              <w:t>Definición y cuantificación de la población potencial y objetivo de los tres componentes del programa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E817CA" w:rsidRPr="000B241B" w:rsidRDefault="00E817CA" w:rsidP="00E817CA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>Realizar un diagnóstico del programa, el cual incluya la definición y cuantificación de las poblaciones.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E817CA" w:rsidRDefault="00E817CA" w:rsidP="00E817CA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 xml:space="preserve">Dirección General de Operación Regional </w:t>
            </w:r>
          </w:p>
          <w:p w:rsidR="00E817CA" w:rsidRPr="000B241B" w:rsidRDefault="00E817CA" w:rsidP="00E817CA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>Dirección de Evaluación y Seguimiento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E817CA" w:rsidRPr="000B241B" w:rsidRDefault="00E817CA" w:rsidP="00E817CA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>Abr 2018</w:t>
            </w:r>
          </w:p>
        </w:tc>
        <w:tc>
          <w:tcPr>
            <w:tcW w:w="1227" w:type="dxa"/>
            <w:shd w:val="clear" w:color="auto" w:fill="auto"/>
            <w:vAlign w:val="center"/>
          </w:tcPr>
          <w:p w:rsidR="00E817CA" w:rsidRPr="000B241B" w:rsidRDefault="00E817CA" w:rsidP="00E817CA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>Dic 2018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817CA" w:rsidRPr="000B241B" w:rsidRDefault="00E817CA" w:rsidP="00E817CA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>Diagnóstico del Programa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E817CA" w:rsidRPr="000B241B" w:rsidRDefault="00E817CA" w:rsidP="00E817CA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>Diagnóstico del Programa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E817CA" w:rsidRPr="000B241B" w:rsidRDefault="00E817CA" w:rsidP="00E817CA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>0%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817CA" w:rsidRPr="000B241B" w:rsidRDefault="00E817CA" w:rsidP="00E817CA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>Diagnóstico con definición y cuantificación de las poblaciones de los tres componentes</w:t>
            </w:r>
          </w:p>
        </w:tc>
        <w:tc>
          <w:tcPr>
            <w:tcW w:w="2281" w:type="dxa"/>
            <w:shd w:val="clear" w:color="auto" w:fill="auto"/>
            <w:vAlign w:val="center"/>
          </w:tcPr>
          <w:p w:rsidR="00E817CA" w:rsidRPr="000B241B" w:rsidRDefault="00E817CA" w:rsidP="00E817CA">
            <w:pPr>
              <w:tabs>
                <w:tab w:val="left" w:pos="0"/>
              </w:tabs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</w:p>
        </w:tc>
      </w:tr>
    </w:tbl>
    <w:p w:rsidR="007F5B7C" w:rsidRPr="000B241B" w:rsidRDefault="007F5B7C" w:rsidP="007F5B7C">
      <w:pPr>
        <w:tabs>
          <w:tab w:val="left" w:pos="0"/>
        </w:tabs>
        <w:spacing w:after="200" w:line="276" w:lineRule="auto"/>
        <w:ind w:right="51"/>
        <w:rPr>
          <w:rFonts w:ascii="Arial Narrow" w:hAnsi="Arial Narrow" w:cs="Arial"/>
          <w:iCs/>
          <w:lang w:val="es-ES"/>
        </w:rPr>
      </w:pPr>
    </w:p>
    <w:p w:rsidR="007F5B7C" w:rsidRDefault="007F5B7C"/>
    <w:sectPr w:rsidR="007F5B7C" w:rsidSect="007F5B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6674" w:rsidRDefault="00066674" w:rsidP="00CE541D">
      <w:r>
        <w:separator/>
      </w:r>
    </w:p>
  </w:endnote>
  <w:endnote w:type="continuationSeparator" w:id="0">
    <w:p w:rsidR="00066674" w:rsidRDefault="00066674" w:rsidP="00CE5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41D" w:rsidRDefault="00CE541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41D" w:rsidRDefault="00CE541D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41D" w:rsidRDefault="00CE541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6674" w:rsidRDefault="00066674" w:rsidP="00CE541D">
      <w:r>
        <w:separator/>
      </w:r>
    </w:p>
  </w:footnote>
  <w:footnote w:type="continuationSeparator" w:id="0">
    <w:p w:rsidR="00066674" w:rsidRDefault="00066674" w:rsidP="00CE54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41D" w:rsidRDefault="00CE541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41D" w:rsidRDefault="00CE541D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0" locked="0" layoutInCell="1" allowOverlap="1" wp14:anchorId="411975BD" wp14:editId="3F67677E">
          <wp:simplePos x="0" y="0"/>
          <wp:positionH relativeFrom="margin">
            <wp:posOffset>-393405</wp:posOffset>
          </wp:positionH>
          <wp:positionV relativeFrom="paragraph">
            <wp:posOffset>-364993</wp:posOffset>
          </wp:positionV>
          <wp:extent cx="1692846" cy="1131894"/>
          <wp:effectExtent l="0" t="0" r="3175" b="0"/>
          <wp:wrapNone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2846" cy="11318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s-MX"/>
      </w:rPr>
      <w:drawing>
        <wp:anchor distT="0" distB="0" distL="114300" distR="114300" simplePos="0" relativeHeight="251660288" behindDoc="0" locked="0" layoutInCell="1" allowOverlap="1" wp14:anchorId="7E1BACCE" wp14:editId="7CFA14DA">
          <wp:simplePos x="0" y="0"/>
          <wp:positionH relativeFrom="margin">
            <wp:align>right</wp:align>
          </wp:positionH>
          <wp:positionV relativeFrom="paragraph">
            <wp:posOffset>-119971</wp:posOffset>
          </wp:positionV>
          <wp:extent cx="1401759" cy="748665"/>
          <wp:effectExtent l="0" t="0" r="8255" b="0"/>
          <wp:wrapNone/>
          <wp:docPr id="4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3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1759" cy="74866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>
                    <a:ext uri="{FAA26D3D-D897-4be2-8F04-BA451C77F1D7}">
                      <ma14:placeholderFlag xmlns:lc="http://schemas.openxmlformats.org/drawingml/2006/lockedCanvas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xdr="http://schemas.openxmlformats.org/drawingml/2006/spreadsheetDrawing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41D" w:rsidRDefault="00CE541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B7C"/>
    <w:rsid w:val="00066674"/>
    <w:rsid w:val="0046711F"/>
    <w:rsid w:val="007F5B7C"/>
    <w:rsid w:val="00955DA2"/>
    <w:rsid w:val="00BE26E0"/>
    <w:rsid w:val="00CE541D"/>
    <w:rsid w:val="00DE073A"/>
    <w:rsid w:val="00E8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276C4B-B127-4102-911F-A7AE96A02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5B7C"/>
    <w:pPr>
      <w:spacing w:after="0" w:line="240" w:lineRule="auto"/>
    </w:pPr>
    <w:rPr>
      <w:rFonts w:ascii="Calibri" w:hAnsi="Calibri" w:cs="Times New Roman"/>
    </w:rPr>
  </w:style>
  <w:style w:type="paragraph" w:styleId="Ttulo2">
    <w:name w:val="heading 2"/>
    <w:basedOn w:val="Normal"/>
    <w:next w:val="Normal"/>
    <w:link w:val="Ttulo2Car"/>
    <w:uiPriority w:val="99"/>
    <w:unhideWhenUsed/>
    <w:qFormat/>
    <w:rsid w:val="007F5B7C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9"/>
    <w:rsid w:val="007F5B7C"/>
    <w:rPr>
      <w:rFonts w:ascii="Cambria" w:eastAsia="Times New Roman" w:hAnsi="Cambria" w:cs="Times New Roman"/>
      <w:b/>
      <w:bCs/>
      <w:color w:val="4F81BD"/>
      <w:sz w:val="26"/>
      <w:szCs w:val="26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CE541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E541D"/>
    <w:rPr>
      <w:rFonts w:ascii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CE541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E541D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2018-06-25T03:28:00Z</dcterms:created>
  <dcterms:modified xsi:type="dcterms:W3CDTF">2018-06-25T03:28:00Z</dcterms:modified>
</cp:coreProperties>
</file>